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136 vom 27. August 1986</w:t>
      </w:r>
    </w:p>
    <w:p>
      <w:r>
        <w:t>Bundesgericht (BGE), 1986-08-27, DE</w:t>
      </w:r>
    </w:p>
    <w:p>
      <w:r>
        <w:rPr>
          <w:b/>
        </w:rPr>
        <w:t xml:space="preserve">Quelle: </w:t>
      </w:r>
      <w:r>
        <w:t>https://mcp.opencaselaw.ch/entscheid/bge_112 IA 136</w:t>
      </w:r>
    </w:p>
    <w:p>
      <w:r>
        <w:t>FR: BGE 112 IA 136 du 27 août 1986</w:t>
      </w:r>
    </w:p>
    <w:p>
      <w:r>
        <w:t>IT: BGE 112 IA 136 del 27 agosto 1986</w:t>
      </w:r>
    </w:p>
    <w:p>
      <w:pPr>
        <w:pStyle w:val="Heading2"/>
      </w:pPr>
      <w:r>
        <w:t>Regeste</w:t>
      </w:r>
    </w:p>
    <w:p>
      <w:r>
        <w:t>Regeste Art. 85 lit. a und Art. 88 OG; Legitimation zur Anfechtung einer kantonalen Delegationsvorschrift. Die Legitimation zur Anfechtung einer kantonalen Delegationsvorschrift richtet sich nach Art. 85 lit. a OG, soweit eine Verletzung des politischen Stimmrechts gerügt (E. 2a), und nach Art. 88 OG, soweit eine Verletzung von Art. 4 BV, Art. 2 Üb.Best. BV sowie des Grundsatzes der Gewaltentrennung geltend gemacht wird (E. 2b). Politisches Stimmrecht; Verletzung durch eine Delegationsnorm? Die in Art. 44 des Schaffhauser Gesetzes über die Organisation der Regierungs- und Verwaltungstätigkeit vom 18. Februar 1985 enthaltene Ermächtigung an den Regierungsrat, in Gesetzen oder Dekreten enthaltene Organisations- und Zuständigkeitsvorschriften für die kantonale Verwaltung auf dem Verordnungsweg anzupassen, verletzt das politische Stimmrecht der Bürger nicht (E. 3).</w:t>
      </w:r>
    </w:p>
    <w:p>
      <w:pPr>
        <w:pStyle w:val="Heading2"/>
      </w:pPr>
      <w:r>
        <w:t>Erwägungen</w:t>
      </w:r>
    </w:p>
    <w:p>
      <w:r>
        <w:rPr>
          <w:b/>
        </w:rPr>
        <w:t>E. 2</w:t>
      </w:r>
    </w:p>
    <w:p>
      <w:r>
        <w:t>a) Der Beschwerdeführer ist stimmberechtigter Einwohner des Kantons Schaffhausen und damit grundsätzlich berechtigt, im Zusammenhang mit der Volksabstimmung über das neue Organisationsgesetz Stimmrechtsbeschwerde zu führen ( Art. 85 lit. a OG ). Mit dieser Beschwerde kann nach der Rechtsprechung des Bundesgerichts gerügt werden, ein Erlass enthalte eine Delegationsnorm, durch die eine referendumspflichtige Materie künftig der Volksabstimmung entzogen werde ( BGE 105 Ia 361 E. 4b; BGE 104 Ia 307 /308 E. 1b). Die Beschwerde ist daher zulässig, soweit mit ihr die Aufhebung von Art. 44 des Organisationsgesetzes beantragt wird, der nach der Auffassung des Beschwerdeführers eine unzulässige Kompetenzdelegation enthält. b) Soweit der Beschwerdeführer jedoch die Verletzung von Art. 4 BV und Art. 2 Üb.Best. BV sowie des Grundsatzes der Gewaltentrennung rügt, bestimmt sich die Legitimation zur Beschwerdeführung nach Art. 88 OG . Diese Vorschrift setzt voraus, dass der Beschwerdeführer durch den angefochtenen Erlass in seiner persönlichen Rechtsstellung beeinträchtigt wird. Das ist hier jedoch nicht der Fall, weshalb in dieser Hinsicht auf die Beschwerde nicht eingetreten werden kann ( BGE 105 Ia 359 E. 3d).</w:t>
      </w:r>
    </w:p>
    <w:p>
      <w:r>
        <w:rPr>
          <w:b/>
        </w:rPr>
        <w:t>E. 3</w:t>
      </w:r>
    </w:p>
    <w:p>
      <w:r>
        <w:t>a) Bei Stimmrechtsbeschwerden prüft das Bundesgericht nicht nur die Auslegung von Bundesrecht und kantonalem Verfassungsrecht frei, sondern auch jene anderer kantonaler Vorschriften, BGE 112 Ia 136 S. 139 die den Inhalt des Stimm- und Wahlrechts regeln oder mit diesem eng zusammenhängen. In ausgesprochenen Zweifelsfällen schliesst es sich jedoch der von der obersten kantonalen Behörde vertretenen Auffassung an; als solche gelten das Parlament und das Volk ( BGE 111 Ia 117 /118 E. 2a; BGE 110 Ia 181 E. 3a, je mit Hinweisen). b) Der Beschwerdeführer macht geltend, die Schaffung der Delegationsnorm von Art. 44 des Organisationsgesetzes hebe das Stimmrecht in unzulässiger Weise auf. Wie es sich damit verhält, hängt von der Beantwortung der Frage ab, ob die mit dieser Vorschrift ausgesprochene Delegation an den Regierungsrat zulässig ist, in Gesetzen und Dekreten enthaltene Organisations- und Zuständigkeitsvorschriften für die kantonale Verwaltung auf dem Verordnungsweg anzupassen. Nach der bundesgerichtlichen Rechtsprechung ist die Delegation rechtsetzender Befugnisse an Verwaltungsbehörden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Ob die Delegationsnorm diesen verfassungsrechtlichen Anforderungen genügt, prüft das Bundesgericht frei ( BGE 104 Ia 310 E. 3c mit Hinweisen). c) Im vorliegenden Fall stellt sich zunächst die Frage, ob bestehendes formelles Gesetzesrecht überhaupt auf dem Verordnungsweg geändert werden kann. Aus dem rechtsstaatlichen Prinzip des Vorrangs des Gesetzes folgt unter anderem der Grundsatz der Parallelität der Formen. Danach kann eine Behörde ihre Anordnungen nur in jener Form gültig ändern, in der sie erlassen wurden ( BGE 108 Ia 184 E. 3d; BGE 105 Ia 81 E. 6a; BGE 101 Ia 591 E. 4a; BGE 100 Ia 162 E. 5d; 98 Ia 111 E. 2d; BGE 94 I 36 E. 3a). Mehr folgt aus diesem Grundsatz nicht; namentlich ist es dem Gesetzgeber nicht verwehrt, die Kompetenz zur Änderung oder Aufhebung einer Norm des formellen Gesetzes an den Verordnungsgeber zu delegieren (vgl. BGE 103 Ia 379 E. 4b). Hingegen muss sich die Befugnis zur Aufhebung oder Änderung formellen Gesetzesrechts durch den Verordnungsgeber in klarer Weise aus der Delegationsnorm ergeben, die ihrerseits in einem dem Referendum unterstehenden Gesetz enthalten sein muss ( BGE 103 Ia 378 /379 E. 4b; BGE 94 I 36 E. 3a). BGE 112 Ia 136 S. 140 Diesem Erfordernis wurde im vorliegenden Fall dadurch Genüge getan, dass die Delegationsnorm im Organisationsgesetz enthalten und dem Volk unterbreitet worden ist. d) Der umstrittenen Delegation von Rechtssetzungsbefugnissen an den Regierungsrat stehen im weitern keine Normen des kantonalen Rechts entgegen. Zwar beruft sich der Beschwerdeführer auf die Art. 41 Ziff. 4, Art. 42 Ziff. 1 und Art. 66 KV. Die Vorschrift von Art. 41 Ziff. 4 KV bestimmt jedoch lediglich, dass dem Grossen Rat unter Vorbehalt der Volksrechte das Recht der Gesetzgebung nach Massgabe der Verfassung zustehe. Art. 42 Ziff. 1 KV schreibt vor, dass unter anderem Gesetze der Volksabstimmung zu unterstellen sind. Art. 66 KV zählt die Befugnisse des Regierungsrates auf. Über die Frage der Zulässigkeit einer Delegation dieser Rechtssetzungsbefugnisse an den Regierungsrat lässt sich diesen Verfassungsvorschriften nichts entnehmen. Namentlich schliessen sie eine solche Delegation nicht aus. e) Die Delegation ist sodann auf ein bestimmtes Gebiet beschränkt. Zwar sollen nach Art. 44 des Organisationsgesetzes sämtliche Gesetze und Dekrete angepasst werden können. Wortlaut, systematische Stellung unter dem Titel "D. Schlussbestimmungen" und die Beratungen der grossrätlichen Spezialkommission (Protokoll, S. 78/79) zeigen, dass es nur um Anpassung bestehender Gesetze und Dekrete an das neue Gesetz gehen kann. Obwohl sich die Delegation auf sämtliche bestehenden Gesetze und Dekrete bezieht, ist das Erfordernis der Beschränkung auf ein bestimmtes Gebiet gewahrt. Die Delegation beschränkt sich auf den klar abgegrenzten, engen Bereich der Anpassung von Organisations- und Zuständigkeitsvorschriften für die kantonale Verwaltung im Sinne des neuen Gesetzes. f) Die Delegation nach Art. 44 des Organisationsgesetzes betrifft ferner keine Regelung, welche die Rechtsstellung der Bürger berührt. Es geht um blosse Organisations- und Zuständigkeitsvorschriften innerhalb der Verwaltung. Solche bereits bestehenden Vorschriften sollen mit dem neuen Gesetz in Übereinstimmung gebracht werden. Dabei hat sich der Regierungsrat an das Organisationsgesetz zu halten und ist nicht befugt, von Bestimmungen dieses Gesetzes abzuweichen. Wie sich auch aus der Liste ergibt, die bei der Beratung für das neue Gesetz vorlag, halten sich die vorgesehenen Gesetzesänderungen durchaus im Rahmen der Delegationsnorm. Substanzielle Änderungen wie jene des Verwaltungsrechtspflegegesetzes, die den Rechtsmittelweg im Verwaltungsverfahren BGE 112 Ia 136 S. 141 regelt (Art. 16) und somit die Rechte des Einzelnen berührt, wurden durch Aufnahme in das Gesetz selbst vorgenommen (Art. 42 des Organisationsgesetzes). Der Grund zur Übertragung der allgemeinen Anpassungskompetenz liegt einzig darin, die betreffenden Vorschriften, die den Einzelnen in seinen Rechten nicht berühren, auf einfache Weise dem Organisationsgesetz anzupassen. Zwar wäre das auch ohne weiteres unmittelbar durch das neue Gesetz selbst möglich gewesen. Doch ist die Begründung der kantonalen Behörden berechtigt, wonach die Gesetzesvorlage durch den Verzicht auf eine in das Gesetz integrierte Anpassung an Übersicht gewonnen hat und zudem allfällige Fehler bei der Durchsicht des Rechtsbuchs auf einfache Art korrigiert werden können. Die entgegenstehenden Bedenken des Beschwerdeführers sind unbegründet. Namentlich kann der Regierungsrat die Gesetze nicht "nach Gutdünken" anpassen, da Art. 44 des Organisationsgesetzes die Kompetenz klar umschreibt, begrenzt und inhaltlich in den Rahmen des neuen Gesetzes weist. Es liegt auch im Wesen einer jeden vom Volk ausgesprochenen Delegation, dass der Stimmbürger dadurch sein Stimmrecht einschränkt. Genügt die Delegationsnorm den verfassungsrechtlichen Anforderungen, so hat sich der einzelne Stimmbürger diese Einschränkung gefallen zu lassen, auch wenn er ihr nicht zugestimmt hat. g) Der Beschwerdeführer macht schliesslich geltend, durch eine allfällige Änderung anderer Gesetze auf dem Verordnungsweg werde der Grundsatz der Einheit der Materie verletzt. Das vom Verfassungsrecht des Bundes gewährleistete politische Stimmrecht gibt dem Bürger unter anderem Anspruch darauf, dass kein Abstimmungsergebnis anerkannt wird, das nicht den freien Willen der Stimmbürger zuverlässig und unverfälscht zum Ausdruck bringt. Daraus wird unter anderem das generell gültige Prinzip der Einheit der Materie abgeleitet, wonach verschiedene Materien nicht zu einer einzigen Abstimmungsvorlage verbunden werden dürfen ( BGE 111 Ia 198 E. 2b mit Hinweis auf BGE 108 Ia 157 E. 3b und BGE 104 Ia 223 E. 2b). Im vorliegenden Fall ist der Grundsatz der Einheit der Materie klarerweise nicht verletzt. Die Gesetzesvorlage hat die Organisation der Regierungs- und Verwaltungstätigkeit im Kanton Schaffhausen zum Gegenstand. Der umstrittene Art. 44 des Organisationsgesetzes ermöglicht dem Regierungsrat die Anpassung anderer Gesetze und Dekrete in bezug auf Organisations- und Zuständigkeitsvorschriften im Rahmen dieses neuen Gesetzes. Es handelt BGE 112 Ia 136 S. 142 sich demnach um dieselbe Materie, wie sie im Organisationsgesetz geregelt ist. Darauf, ob jene Gesetze an sich verschiedene Materien regeln, kann es nicht ankommen.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